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E423" w14:textId="6570BEC3" w:rsidR="0019760D" w:rsidRDefault="002D3E88">
      <w:pPr>
        <w:spacing w:after="94" w:line="259" w:lineRule="auto"/>
        <w:ind w:left="0" w:firstLine="0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0" wp14:anchorId="5A835BB9" wp14:editId="7C62A950">
            <wp:simplePos x="0" y="0"/>
            <wp:positionH relativeFrom="column">
              <wp:posOffset>5112387</wp:posOffset>
            </wp:positionH>
            <wp:positionV relativeFrom="paragraph">
              <wp:posOffset>-539368</wp:posOffset>
            </wp:positionV>
            <wp:extent cx="719455" cy="1079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DCA3C" w14:textId="31533CCC" w:rsidR="0019760D" w:rsidRDefault="002D3E88">
      <w:pPr>
        <w:spacing w:after="0" w:line="259" w:lineRule="auto"/>
        <w:ind w:left="0" w:firstLine="0"/>
      </w:pPr>
      <w:bookmarkStart w:id="0" w:name="_GoBack"/>
      <w:r>
        <w:rPr>
          <w:color w:val="18657C"/>
          <w:sz w:val="36"/>
        </w:rPr>
        <w:t>Guiding principles of Communication Department's partnership policy</w:t>
      </w:r>
    </w:p>
    <w:bookmarkEnd w:id="0"/>
    <w:p w14:paraId="6984507D" w14:textId="61501E8C" w:rsidR="0019760D" w:rsidRDefault="0019760D">
      <w:pPr>
        <w:spacing w:after="9" w:line="259" w:lineRule="auto"/>
        <w:ind w:left="0" w:firstLine="0"/>
      </w:pPr>
    </w:p>
    <w:p w14:paraId="1410AC72" w14:textId="6D2DA8BB" w:rsidR="0019760D" w:rsidRDefault="002D3E88">
      <w:pPr>
        <w:ind w:left="-15" w:firstLine="0"/>
      </w:pPr>
      <w:r>
        <w:t xml:space="preserve">Each partnership is unique and is realised in consultation. The Communication Department of NWO decides whether a partnership will be concluded or not. </w:t>
      </w:r>
      <w:r w:rsidR="00A47330">
        <w:t>T</w:t>
      </w:r>
      <w:r>
        <w:t>he following guiding principles apply</w:t>
      </w:r>
      <w:r w:rsidR="00A47330">
        <w:t xml:space="preserve"> during the assessment of potential partnerships</w:t>
      </w:r>
      <w:r>
        <w:t>.</w:t>
      </w:r>
    </w:p>
    <w:p w14:paraId="5EB44D81" w14:textId="0BAEF69D" w:rsidR="0019760D" w:rsidRDefault="0019760D">
      <w:pPr>
        <w:spacing w:after="9" w:line="259" w:lineRule="auto"/>
        <w:ind w:left="0" w:firstLine="0"/>
      </w:pPr>
    </w:p>
    <w:p w14:paraId="460E41A1" w14:textId="52378F12" w:rsidR="0019760D" w:rsidRDefault="0019760D">
      <w:pPr>
        <w:spacing w:after="12" w:line="259" w:lineRule="auto"/>
        <w:ind w:left="0" w:firstLine="0"/>
      </w:pPr>
    </w:p>
    <w:p w14:paraId="2BF88951" w14:textId="38787B8F" w:rsidR="0019760D" w:rsidRDefault="002D3E88">
      <w:pPr>
        <w:numPr>
          <w:ilvl w:val="0"/>
          <w:numId w:val="1"/>
        </w:numPr>
        <w:ind w:hanging="283"/>
      </w:pPr>
      <w:r>
        <w:rPr>
          <w:b/>
        </w:rPr>
        <w:t xml:space="preserve">Content: </w:t>
      </w:r>
      <w:r w:rsidRPr="00C551F2">
        <w:rPr>
          <w:bCs/>
        </w:rPr>
        <w:t xml:space="preserve">initiatives tie in with NWO's mission and provide room for a specific message that is completely in line with this. The </w:t>
      </w:r>
      <w:hyperlink r:id="rId9" w:history="1">
        <w:r w:rsidRPr="00590BE2">
          <w:rPr>
            <w:rStyle w:val="Hyperlink"/>
            <w:bCs/>
          </w:rPr>
          <w:t>NWO strategy</w:t>
        </w:r>
      </w:hyperlink>
      <w:r w:rsidRPr="00C551F2">
        <w:rPr>
          <w:bCs/>
        </w:rPr>
        <w:t xml:space="preserve"> is leading in this.</w:t>
      </w:r>
      <w:hyperlink r:id="rId10"/>
      <w:hyperlink r:id="rId11"/>
      <w:hyperlink r:id="rId12"/>
    </w:p>
    <w:p w14:paraId="78B8BB5E" w14:textId="0128E483" w:rsidR="0019760D" w:rsidRDefault="0019760D">
      <w:pPr>
        <w:spacing w:after="0" w:line="259" w:lineRule="auto"/>
        <w:ind w:left="0" w:firstLine="0"/>
      </w:pPr>
    </w:p>
    <w:tbl>
      <w:tblPr>
        <w:tblStyle w:val="TableGrid"/>
        <w:tblW w:w="9298" w:type="dxa"/>
        <w:tblInd w:w="-113" w:type="dxa"/>
        <w:tblCellMar>
          <w:top w:w="9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19760D" w14:paraId="28331404" w14:textId="77777777">
        <w:trPr>
          <w:trHeight w:val="161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0845" w14:textId="18D3149D" w:rsidR="0019760D" w:rsidRDefault="002D3E88">
            <w:pPr>
              <w:spacing w:after="9" w:line="259" w:lineRule="auto"/>
              <w:ind w:left="0" w:firstLine="0"/>
            </w:pPr>
            <w:r>
              <w:t>Mission:</w:t>
            </w:r>
          </w:p>
          <w:p w14:paraId="29BF3A7A" w14:textId="74ABCDFA" w:rsidR="0019760D" w:rsidRDefault="002D3E88">
            <w:pPr>
              <w:spacing w:after="0" w:line="259" w:lineRule="auto"/>
              <w:ind w:left="283" w:firstLine="0"/>
            </w:pPr>
            <w:r>
              <w:rPr>
                <w:i/>
              </w:rPr>
              <w:t>NWO's mission is to advance world-class scientiﬁc research that has scientiﬁc and societal impact. In its mission</w:t>
            </w:r>
            <w:r w:rsidR="004B7C9E">
              <w:rPr>
                <w:i/>
              </w:rPr>
              <w:t>,</w:t>
            </w:r>
            <w:r>
              <w:rPr>
                <w:i/>
              </w:rPr>
              <w:t xml:space="preserve"> NWO focuses on fundamental research. For the strategy period 2019-2022, NWO has formulated five ambitions (nexus, people, research, infrastructure, knowledge utilisation) along which it will realise its mission. NWO </w:t>
            </w:r>
            <w:r w:rsidR="00956BEB">
              <w:rPr>
                <w:i/>
              </w:rPr>
              <w:t>operates</w:t>
            </w:r>
            <w:r>
              <w:rPr>
                <w:i/>
              </w:rPr>
              <w:t xml:space="preserve"> according to its core values</w:t>
            </w:r>
            <w:r w:rsidR="00745F72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groundbreaking</w:t>
            </w:r>
            <w:proofErr w:type="spellEnd"/>
            <w:r>
              <w:rPr>
                <w:i/>
              </w:rPr>
              <w:t>, committed, reliable and connecting.</w:t>
            </w:r>
          </w:p>
        </w:tc>
      </w:tr>
    </w:tbl>
    <w:p w14:paraId="4A93B20C" w14:textId="6CBD05C3" w:rsidR="0019760D" w:rsidRDefault="0019760D">
      <w:pPr>
        <w:spacing w:after="9" w:line="259" w:lineRule="auto"/>
        <w:ind w:left="0" w:firstLine="0"/>
      </w:pPr>
    </w:p>
    <w:p w14:paraId="1F2252F9" w14:textId="6C2B6C48" w:rsidR="0019760D" w:rsidRDefault="00AC457D">
      <w:pPr>
        <w:numPr>
          <w:ilvl w:val="0"/>
          <w:numId w:val="1"/>
        </w:numPr>
        <w:spacing w:after="0" w:line="270" w:lineRule="auto"/>
        <w:ind w:hanging="283"/>
      </w:pPr>
      <w:r>
        <w:rPr>
          <w:b/>
        </w:rPr>
        <w:t>M</w:t>
      </w:r>
      <w:r w:rsidR="002D3E88">
        <w:rPr>
          <w:b/>
        </w:rPr>
        <w:t xml:space="preserve">utual commitment: </w:t>
      </w:r>
      <w:r w:rsidR="002D3E88" w:rsidRPr="00AC457D">
        <w:rPr>
          <w:bCs/>
        </w:rPr>
        <w:t>a communication activity is jointly developed, which implies mutual commitment and shared influence. Therefore, it is not a (</w:t>
      </w:r>
      <w:r w:rsidR="0075517A">
        <w:rPr>
          <w:bCs/>
        </w:rPr>
        <w:t>veiled</w:t>
      </w:r>
      <w:r w:rsidR="002D3E88" w:rsidRPr="00AC457D">
        <w:rPr>
          <w:bCs/>
        </w:rPr>
        <w:t xml:space="preserve">) advertising </w:t>
      </w:r>
      <w:r w:rsidR="00C551F2">
        <w:rPr>
          <w:bCs/>
        </w:rPr>
        <w:t xml:space="preserve">or </w:t>
      </w:r>
      <w:r w:rsidR="002D3E88" w:rsidRPr="00AC457D">
        <w:rPr>
          <w:bCs/>
        </w:rPr>
        <w:t>sponsoring campaign.</w:t>
      </w:r>
    </w:p>
    <w:p w14:paraId="02D5E16B" w14:textId="77777777" w:rsidR="0019760D" w:rsidRDefault="002D3E88">
      <w:pPr>
        <w:spacing w:after="9" w:line="259" w:lineRule="auto"/>
        <w:ind w:left="283" w:firstLine="0"/>
      </w:pPr>
      <w:r>
        <w:t xml:space="preserve"> </w:t>
      </w:r>
    </w:p>
    <w:p w14:paraId="623579DF" w14:textId="0BE5C067" w:rsidR="0019760D" w:rsidRDefault="002D3E88">
      <w:pPr>
        <w:numPr>
          <w:ilvl w:val="0"/>
          <w:numId w:val="1"/>
        </w:numPr>
        <w:ind w:hanging="283"/>
      </w:pPr>
      <w:r>
        <w:rPr>
          <w:b/>
        </w:rPr>
        <w:t>Purposefulness:</w:t>
      </w:r>
      <w:r w:rsidRPr="002866D6">
        <w:rPr>
          <w:bCs/>
        </w:rPr>
        <w:t xml:space="preserve"> partnerships contribute to achieving the </w:t>
      </w:r>
      <w:r w:rsidR="009A4A82">
        <w:rPr>
          <w:bCs/>
        </w:rPr>
        <w:t xml:space="preserve">following </w:t>
      </w:r>
      <w:r w:rsidRPr="002866D6">
        <w:rPr>
          <w:bCs/>
        </w:rPr>
        <w:t>objectives:</w:t>
      </w:r>
    </w:p>
    <w:p w14:paraId="38913C1A" w14:textId="1DA80C61" w:rsidR="0019760D" w:rsidRDefault="002D3E88">
      <w:pPr>
        <w:numPr>
          <w:ilvl w:val="0"/>
          <w:numId w:val="2"/>
        </w:numPr>
        <w:ind w:hanging="567"/>
      </w:pPr>
      <w:r>
        <w:t xml:space="preserve">Making connections with target groups that are relevant </w:t>
      </w:r>
      <w:r w:rsidR="009A4A82">
        <w:t xml:space="preserve">to </w:t>
      </w:r>
      <w:r>
        <w:t xml:space="preserve">NWO but </w:t>
      </w:r>
      <w:r w:rsidR="009A4A82">
        <w:t xml:space="preserve">to </w:t>
      </w:r>
      <w:r>
        <w:t>whom we do not have (</w:t>
      </w:r>
      <w:r w:rsidR="009A4A82">
        <w:t>proper</w:t>
      </w:r>
      <w:r>
        <w:t>) access and/or;</w:t>
      </w:r>
    </w:p>
    <w:p w14:paraId="36BB84FE" w14:textId="52EFAA2C" w:rsidR="0019760D" w:rsidRDefault="002D3E88">
      <w:pPr>
        <w:numPr>
          <w:ilvl w:val="0"/>
          <w:numId w:val="2"/>
        </w:numPr>
        <w:ind w:hanging="567"/>
      </w:pPr>
      <w:r>
        <w:t>Increasing the impact through the authority that the partner has among target groups and/or on subjects that are relevant for NWO;</w:t>
      </w:r>
    </w:p>
    <w:p w14:paraId="52E9CC0E" w14:textId="3951F015" w:rsidR="0019760D" w:rsidRDefault="002D3E88">
      <w:pPr>
        <w:numPr>
          <w:ilvl w:val="0"/>
          <w:numId w:val="2"/>
        </w:numPr>
        <w:ind w:hanging="567"/>
      </w:pPr>
      <w:r>
        <w:t xml:space="preserve">Making use of and applying communication expertise that is relevant </w:t>
      </w:r>
      <w:r w:rsidR="009A4A82">
        <w:t xml:space="preserve">to </w:t>
      </w:r>
      <w:r>
        <w:t>us and our target groups but which we do not have in-house (e.g.: Citizen Science);</w:t>
      </w:r>
    </w:p>
    <w:p w14:paraId="6E460F5F" w14:textId="17742E6C" w:rsidR="0019760D" w:rsidRDefault="002D3E88">
      <w:pPr>
        <w:numPr>
          <w:ilvl w:val="0"/>
          <w:numId w:val="2"/>
        </w:numPr>
        <w:ind w:hanging="567"/>
      </w:pPr>
      <w:r>
        <w:t>Maximising impact and preventing double work by collaborating with partners who organise similar activities about science.</w:t>
      </w:r>
    </w:p>
    <w:p w14:paraId="10C8AAFF" w14:textId="5F25A213" w:rsidR="0019760D" w:rsidRDefault="0019760D">
      <w:pPr>
        <w:spacing w:after="12" w:line="259" w:lineRule="auto"/>
        <w:ind w:left="0" w:firstLine="0"/>
      </w:pPr>
    </w:p>
    <w:p w14:paraId="7D54B94C" w14:textId="41C79FA0" w:rsidR="0019760D" w:rsidRDefault="002D3E88">
      <w:pPr>
        <w:spacing w:after="22" w:line="259" w:lineRule="auto"/>
        <w:ind w:lef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Impact</w:t>
      </w:r>
      <w:r>
        <w:t>:</w:t>
      </w:r>
    </w:p>
    <w:p w14:paraId="36558F72" w14:textId="2243861B" w:rsidR="0019760D" w:rsidRDefault="002D3E88">
      <w:pPr>
        <w:numPr>
          <w:ilvl w:val="0"/>
          <w:numId w:val="3"/>
        </w:numPr>
        <w:ind w:hanging="567"/>
      </w:pPr>
      <w:r>
        <w:t>Concrete and attractive agreements can be made about the impact and about the added value for NWO. This can concern subjects such as room for dialogue/collaboration/agenda setting, guaranteed reach and free use of the resources to be developed for NWO's own channels;</w:t>
      </w:r>
    </w:p>
    <w:p w14:paraId="0B6CE58E" w14:textId="0431536F" w:rsidR="0019760D" w:rsidRDefault="002D3E88">
      <w:pPr>
        <w:numPr>
          <w:ilvl w:val="0"/>
          <w:numId w:val="3"/>
        </w:numPr>
        <w:ind w:hanging="567"/>
      </w:pPr>
      <w:r>
        <w:t xml:space="preserve">The expected (communicative) impact and added value is in proportion to the (financial and/or personnel) investment </w:t>
      </w:r>
      <w:r w:rsidR="00E55381">
        <w:t>of</w:t>
      </w:r>
      <w:r>
        <w:t xml:space="preserve"> NWO and the </w:t>
      </w:r>
      <w:r w:rsidR="00E55381">
        <w:t>t</w:t>
      </w:r>
      <w:r>
        <w:t>ime required.</w:t>
      </w:r>
    </w:p>
    <w:p w14:paraId="6BAF2398" w14:textId="735A809E" w:rsidR="0019760D" w:rsidRDefault="0019760D">
      <w:pPr>
        <w:spacing w:after="9" w:line="259" w:lineRule="auto"/>
        <w:ind w:left="283" w:firstLine="0"/>
      </w:pPr>
    </w:p>
    <w:p w14:paraId="38F56219" w14:textId="72052F8C" w:rsidR="0019760D" w:rsidRDefault="002D3E88">
      <w:pPr>
        <w:numPr>
          <w:ilvl w:val="0"/>
          <w:numId w:val="4"/>
        </w:numPr>
        <w:ind w:hanging="283"/>
      </w:pPr>
      <w:r>
        <w:rPr>
          <w:b/>
        </w:rPr>
        <w:t xml:space="preserve">Spread: </w:t>
      </w:r>
      <w:r w:rsidRPr="003D2F0F">
        <w:rPr>
          <w:bCs/>
        </w:rPr>
        <w:t>partnerships together, and in relation to other communication initiatives of NWO, provide a good spread of the target groups, objectives and resources.</w:t>
      </w:r>
    </w:p>
    <w:p w14:paraId="38C137DE" w14:textId="4BFDFB54" w:rsidR="0019760D" w:rsidRDefault="0019760D">
      <w:pPr>
        <w:spacing w:after="9" w:line="259" w:lineRule="auto"/>
        <w:ind w:left="0" w:firstLine="0"/>
      </w:pPr>
    </w:p>
    <w:p w14:paraId="678910DE" w14:textId="2DDEDEA5" w:rsidR="0019760D" w:rsidRPr="00AC457D" w:rsidRDefault="002D3E88">
      <w:pPr>
        <w:numPr>
          <w:ilvl w:val="0"/>
          <w:numId w:val="4"/>
        </w:numPr>
        <w:ind w:hanging="283"/>
        <w:rPr>
          <w:bCs/>
        </w:rPr>
      </w:pPr>
      <w:r>
        <w:rPr>
          <w:b/>
        </w:rPr>
        <w:t xml:space="preserve">No automatic extension: </w:t>
      </w:r>
      <w:r w:rsidRPr="00AC457D">
        <w:rPr>
          <w:bCs/>
        </w:rPr>
        <w:t xml:space="preserve">communication partnerships of NWO cannot be taken for granted. Each new partnership will be evaluated after the first year or </w:t>
      </w:r>
      <w:r w:rsidR="009A4A82">
        <w:rPr>
          <w:bCs/>
        </w:rPr>
        <w:t>edition</w:t>
      </w:r>
      <w:r w:rsidR="009A4A82" w:rsidRPr="00AC457D">
        <w:rPr>
          <w:bCs/>
        </w:rPr>
        <w:t xml:space="preserve"> </w:t>
      </w:r>
      <w:r w:rsidRPr="00AC457D">
        <w:rPr>
          <w:bCs/>
        </w:rPr>
        <w:t>on the basis of the guiding principles of the partnership policy. If the evaluation is positive</w:t>
      </w:r>
      <w:r w:rsidR="009A4A82">
        <w:rPr>
          <w:bCs/>
        </w:rPr>
        <w:t>,</w:t>
      </w:r>
      <w:r w:rsidRPr="00AC457D">
        <w:rPr>
          <w:bCs/>
        </w:rPr>
        <w:t xml:space="preserve"> then the partnership will be extended for a maximum of two years. After that period, another evaluation will take place based on the guiding principles.</w:t>
      </w:r>
    </w:p>
    <w:p w14:paraId="105910F5" w14:textId="5A10191C" w:rsidR="0019760D" w:rsidRPr="00AC457D" w:rsidRDefault="0019760D">
      <w:pPr>
        <w:spacing w:after="12" w:line="259" w:lineRule="auto"/>
        <w:ind w:left="0" w:firstLine="0"/>
        <w:rPr>
          <w:bCs/>
        </w:rPr>
      </w:pPr>
    </w:p>
    <w:p w14:paraId="43EC4798" w14:textId="36A037B7" w:rsidR="0019760D" w:rsidRDefault="0019760D">
      <w:pPr>
        <w:spacing w:after="0" w:line="259" w:lineRule="auto"/>
        <w:ind w:left="0" w:firstLine="0"/>
      </w:pPr>
    </w:p>
    <w:sectPr w:rsidR="0019760D">
      <w:pgSz w:w="11906" w:h="16838"/>
      <w:pgMar w:top="1440" w:right="143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03"/>
    <w:multiLevelType w:val="hybridMultilevel"/>
    <w:tmpl w:val="F118A4A8"/>
    <w:lvl w:ilvl="0" w:tplc="47060306">
      <w:start w:val="5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9E6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1CB0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D0A9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5A4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8C48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222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3481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DE8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369F"/>
    <w:multiLevelType w:val="hybridMultilevel"/>
    <w:tmpl w:val="59BCE476"/>
    <w:lvl w:ilvl="0" w:tplc="3BE2C67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A3265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161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8B2D2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727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726C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B056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04A8F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80A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015AB"/>
    <w:multiLevelType w:val="hybridMultilevel"/>
    <w:tmpl w:val="CF60399A"/>
    <w:lvl w:ilvl="0" w:tplc="3B76A764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82CD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069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BA4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AE3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246F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BC0E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31AD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225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0C55BC"/>
    <w:multiLevelType w:val="hybridMultilevel"/>
    <w:tmpl w:val="CBBC7D3C"/>
    <w:lvl w:ilvl="0" w:tplc="F1061DEC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00EB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04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E3C1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9421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0E60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0A1E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6EEC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50C55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173D576-41B6-46CD-A04D-CB776FA6CA99}"/>
    <w:docVar w:name="dgnword-eventsink" w:val="1992853497664"/>
  </w:docVars>
  <w:rsids>
    <w:rsidRoot w:val="0019760D"/>
    <w:rsid w:val="00085E3F"/>
    <w:rsid w:val="000E2877"/>
    <w:rsid w:val="0019760D"/>
    <w:rsid w:val="002866D6"/>
    <w:rsid w:val="002D3E88"/>
    <w:rsid w:val="003047C8"/>
    <w:rsid w:val="003D2F0F"/>
    <w:rsid w:val="004B7C9E"/>
    <w:rsid w:val="00590BE2"/>
    <w:rsid w:val="00745F72"/>
    <w:rsid w:val="0075517A"/>
    <w:rsid w:val="00765279"/>
    <w:rsid w:val="00956BEB"/>
    <w:rsid w:val="009A4A82"/>
    <w:rsid w:val="00A47330"/>
    <w:rsid w:val="00AC457D"/>
    <w:rsid w:val="00C551F2"/>
    <w:rsid w:val="00E55381"/>
    <w:rsid w:val="00E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973"/>
  <w15:docId w15:val="{527C2172-7A4D-4DD3-8C90-0D9AD07E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65" w:lineRule="auto"/>
      <w:ind w:left="576" w:hanging="576"/>
    </w:pPr>
    <w:rPr>
      <w:rFonts w:ascii="Calibri" w:eastAsia="Calibri" w:hAnsi="Calibri" w:cs="Calibri"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90BE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0BE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4A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4A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4A82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A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A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A82"/>
    <w:rPr>
      <w:rFonts w:ascii="Segoe UI" w:eastAsia="Calibri" w:hAnsi="Segoe UI" w:cs="Segoe UI"/>
      <w:color w:val="000000"/>
      <w:sz w:val="18"/>
      <w:szCs w:val="18"/>
    </w:rPr>
  </w:style>
  <w:style w:type="paragraph" w:customStyle="1" w:styleId="intro">
    <w:name w:val="intro"/>
    <w:basedOn w:val="Standaard"/>
    <w:rsid w:val="009A4A8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wo.nl/over-nwo/strateg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o.nl/over-nwo/strateg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wo.nl/over-nwo/strateg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wo.nl/en/about-nwo/strate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E838F591BF84BB67B08868005F5A3" ma:contentTypeVersion="8" ma:contentTypeDescription="Een nieuw document maken." ma:contentTypeScope="" ma:versionID="c933db4db2d1f22a8bb7471955a2622e">
  <xsd:schema xmlns:xsd="http://www.w3.org/2001/XMLSchema" xmlns:xs="http://www.w3.org/2001/XMLSchema" xmlns:p="http://schemas.microsoft.com/office/2006/metadata/properties" xmlns:ns3="50a51636-c080-4321-816b-b6f06eae0865" targetNamespace="http://schemas.microsoft.com/office/2006/metadata/properties" ma:root="true" ma:fieldsID="8ce87ca54688e01e7799ebbb6aca56fd" ns3:_="">
    <xsd:import namespace="50a51636-c080-4321-816b-b6f06eae0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1636-c080-4321-816b-b6f06eae0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94A2F-8B79-401B-838E-497BE15E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1636-c080-4321-816b-b6f06eae0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B6A88-6E7C-4DE1-BE25-C60AF089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12BCD-54A0-41B2-B42F-B737AB432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Hoencamp, D.  [Dennis]</dc:creator>
  <cp:keywords/>
  <dc:description/>
  <cp:lastModifiedBy>Larroque, J.  [Julien ]</cp:lastModifiedBy>
  <cp:revision>2</cp:revision>
  <dcterms:created xsi:type="dcterms:W3CDTF">2019-10-23T10:49:00Z</dcterms:created>
  <dcterms:modified xsi:type="dcterms:W3CDTF">2019-10-23T10:49:00Z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0x01010075CE838F591BF84BB67B08868005F5A3</vt:lpwstr>
  </property>
</Properties>
</file>